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3AF9" w:rsidRDefault="005C078D">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#9</w:t>
      </w:r>
      <w:r>
        <w:rPr>
          <w:rFonts w:ascii="Arial" w:eastAsia="宋体" w:hAnsi="Arial" w:cs="Arial" w:hint="eastAsia"/>
          <w:b/>
          <w:sz w:val="24"/>
          <w:szCs w:val="24"/>
          <w:lang w:val="en-US" w:eastAsia="zh-CN"/>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A12212">
        <w:rPr>
          <w:rFonts w:ascii="Arial" w:hAnsi="Arial" w:cs="Arial" w:hint="eastAsia"/>
          <w:b/>
          <w:sz w:val="24"/>
          <w:szCs w:val="24"/>
        </w:rPr>
        <w:t>RP-22</w:t>
      </w:r>
      <w:r w:rsidRPr="00A12212">
        <w:rPr>
          <w:rFonts w:ascii="Arial" w:eastAsia="宋体" w:hAnsi="Arial" w:cs="Arial" w:hint="eastAsia"/>
          <w:b/>
          <w:sz w:val="24"/>
          <w:szCs w:val="24"/>
          <w:lang w:val="en-US" w:eastAsia="zh-CN"/>
        </w:rPr>
        <w:t>1270</w:t>
      </w:r>
      <w:bookmarkStart w:id="0" w:name="_GoBack"/>
      <w:bookmarkEnd w:id="0"/>
    </w:p>
    <w:p w:rsidR="008D3AF9" w:rsidRDefault="005C078D">
      <w:pPr>
        <w:tabs>
          <w:tab w:val="left" w:pos="567"/>
        </w:tabs>
        <w:rPr>
          <w:rFonts w:ascii="Arial" w:hAnsi="Arial" w:cs="Arial"/>
          <w:b/>
          <w:sz w:val="24"/>
        </w:rPr>
      </w:pPr>
      <w:r>
        <w:rPr>
          <w:rFonts w:ascii="Arial" w:eastAsia="宋体" w:hAnsi="Arial" w:cs="Arial" w:hint="eastAsia"/>
          <w:b/>
          <w:sz w:val="24"/>
          <w:lang w:val="en-US" w:eastAsia="zh-CN"/>
        </w:rPr>
        <w:t>Hungary</w:t>
      </w:r>
      <w:r>
        <w:rPr>
          <w:rFonts w:ascii="Arial" w:hAnsi="Arial" w:cs="Arial" w:hint="eastAsia"/>
          <w:b/>
          <w:sz w:val="24"/>
        </w:rPr>
        <w:t xml:space="preserve">, </w:t>
      </w:r>
      <w:r>
        <w:rPr>
          <w:rFonts w:ascii="Arial" w:eastAsia="宋体" w:hAnsi="Arial" w:cs="Arial" w:hint="eastAsia"/>
          <w:b/>
          <w:sz w:val="24"/>
          <w:lang w:val="en-US" w:eastAsia="zh-CN"/>
        </w:rPr>
        <w:t>June 6</w:t>
      </w:r>
      <w:r>
        <w:rPr>
          <w:rFonts w:ascii="Arial" w:hAnsi="Arial" w:cs="Arial" w:hint="eastAsia"/>
          <w:b/>
          <w:sz w:val="24"/>
        </w:rPr>
        <w:t xml:space="preserve">- </w:t>
      </w:r>
      <w:r>
        <w:rPr>
          <w:rFonts w:ascii="Arial" w:eastAsia="宋体" w:hAnsi="Arial" w:cs="Arial" w:hint="eastAsia"/>
          <w:b/>
          <w:sz w:val="24"/>
          <w:lang w:val="en-US" w:eastAsia="zh-CN"/>
        </w:rPr>
        <w:t>9</w:t>
      </w:r>
      <w:r>
        <w:rPr>
          <w:rFonts w:ascii="Arial" w:hAnsi="Arial" w:cs="Arial" w:hint="eastAsia"/>
          <w:b/>
          <w:sz w:val="24"/>
        </w:rPr>
        <w:t>, 2022</w:t>
      </w:r>
      <w:r>
        <w:rPr>
          <w:rFonts w:ascii="Arial" w:hAnsi="Arial" w:cs="Arial" w:hint="eastAsia"/>
          <w:b/>
          <w:sz w:val="24"/>
        </w:rPr>
        <w:tab/>
      </w:r>
    </w:p>
    <w:p w:rsidR="008D3AF9" w:rsidRDefault="005C078D">
      <w:pPr>
        <w:pStyle w:val="2"/>
        <w:jc w:val="center"/>
        <w:rPr>
          <w:u w:val="single"/>
        </w:rPr>
      </w:pPr>
      <w:r>
        <w:rPr>
          <w:u w:val="single"/>
        </w:rPr>
        <w:t>Status Report to TSG</w:t>
      </w:r>
    </w:p>
    <w:p w:rsidR="008D3AF9" w:rsidRDefault="005C078D">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lang w:eastAsia="ja-JP"/>
        </w:rPr>
        <w:t>9.2.6</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8D3AF9">
        <w:tc>
          <w:tcPr>
            <w:tcW w:w="2436" w:type="dxa"/>
            <w:shd w:val="clear" w:color="auto" w:fill="auto"/>
          </w:tcPr>
          <w:p w:rsidR="008D3AF9" w:rsidRDefault="005C078D">
            <w:pPr>
              <w:tabs>
                <w:tab w:val="left" w:pos="567"/>
              </w:tabs>
              <w:spacing w:after="0"/>
              <w:rPr>
                <w:rFonts w:ascii="Arial" w:hAnsi="Arial" w:cs="Arial"/>
                <w:b/>
              </w:rPr>
            </w:pPr>
            <w:r>
              <w:rPr>
                <w:rFonts w:ascii="Arial" w:hAnsi="Arial" w:cs="Arial"/>
                <w:b/>
              </w:rPr>
              <w:t>WI / SI Name</w:t>
            </w:r>
          </w:p>
        </w:tc>
        <w:tc>
          <w:tcPr>
            <w:tcW w:w="7650" w:type="dxa"/>
            <w:gridSpan w:val="5"/>
          </w:tcPr>
          <w:p w:rsidR="008D3AF9" w:rsidRDefault="005C078D">
            <w:pPr>
              <w:tabs>
                <w:tab w:val="left" w:pos="567"/>
              </w:tabs>
              <w:spacing w:after="0"/>
              <w:rPr>
                <w:rFonts w:ascii="Arial" w:hAnsi="Arial" w:cs="Arial"/>
              </w:rPr>
            </w:pPr>
            <w:r>
              <w:rPr>
                <w:rFonts w:ascii="Arial" w:hAnsi="Arial" w:cs="Arial"/>
              </w:rPr>
              <w:t>Study on low-power Wake-up Signal and Receiver for NR</w:t>
            </w:r>
          </w:p>
        </w:tc>
      </w:tr>
      <w:tr w:rsidR="008D3AF9">
        <w:tc>
          <w:tcPr>
            <w:tcW w:w="2436" w:type="dxa"/>
            <w:shd w:val="clear" w:color="auto" w:fill="auto"/>
          </w:tcPr>
          <w:p w:rsidR="008D3AF9" w:rsidRDefault="005C078D">
            <w:pPr>
              <w:tabs>
                <w:tab w:val="left" w:pos="567"/>
              </w:tabs>
              <w:spacing w:after="0"/>
              <w:rPr>
                <w:rFonts w:ascii="Arial" w:hAnsi="Arial" w:cs="Arial"/>
                <w:bCs/>
              </w:rPr>
            </w:pPr>
            <w:r>
              <w:rPr>
                <w:rFonts w:ascii="Arial" w:hAnsi="Arial" w:cs="Arial"/>
                <w:bCs/>
              </w:rPr>
              <w:t>included in this status report</w:t>
            </w:r>
          </w:p>
        </w:tc>
        <w:tc>
          <w:tcPr>
            <w:tcW w:w="1846" w:type="dxa"/>
          </w:tcPr>
          <w:p w:rsidR="008D3AF9" w:rsidRDefault="005C078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8D3AF9" w:rsidRDefault="005C078D">
            <w:pPr>
              <w:tabs>
                <w:tab w:val="left" w:pos="567"/>
              </w:tabs>
              <w:spacing w:after="0"/>
              <w:rPr>
                <w:rFonts w:ascii="Arial" w:hAnsi="Arial" w:cs="Arial"/>
              </w:rPr>
            </w:pPr>
            <w:r>
              <w:rPr>
                <w:rFonts w:ascii="Arial" w:hAnsi="Arial" w:cs="Arial" w:hint="eastAsia"/>
                <w:lang w:eastAsia="ja-JP"/>
              </w:rPr>
              <w:t>Yes</w:t>
            </w:r>
          </w:p>
        </w:tc>
        <w:tc>
          <w:tcPr>
            <w:tcW w:w="1842" w:type="dxa"/>
          </w:tcPr>
          <w:p w:rsidR="008D3AF9" w:rsidRDefault="005C078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8D3AF9" w:rsidRDefault="005C078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8D3AF9" w:rsidRDefault="005C078D">
            <w:pPr>
              <w:tabs>
                <w:tab w:val="left" w:pos="567"/>
              </w:tabs>
              <w:spacing w:after="0"/>
              <w:rPr>
                <w:rFonts w:ascii="Arial" w:hAnsi="Arial" w:cs="Arial"/>
              </w:rPr>
            </w:pPr>
            <w:r>
              <w:rPr>
                <w:rFonts w:ascii="Arial" w:hAnsi="Arial" w:cs="Arial"/>
              </w:rPr>
              <w:t>Performance</w:t>
            </w:r>
            <w:r>
              <w:rPr>
                <w:rFonts w:ascii="Arial" w:hAnsi="Arial" w:cs="Arial"/>
              </w:rPr>
              <w:t xml:space="preserve"> part:</w:t>
            </w:r>
          </w:p>
          <w:p w:rsidR="008D3AF9" w:rsidRDefault="005C078D">
            <w:pPr>
              <w:tabs>
                <w:tab w:val="left" w:pos="567"/>
              </w:tabs>
              <w:spacing w:after="0"/>
              <w:rPr>
                <w:rFonts w:ascii="Arial" w:hAnsi="Arial" w:cs="Arial"/>
                <w:lang w:eastAsia="ja-JP"/>
              </w:rPr>
            </w:pPr>
            <w:r>
              <w:rPr>
                <w:rFonts w:ascii="Arial" w:hAnsi="Arial" w:cs="Arial"/>
                <w:lang w:eastAsia="ja-JP"/>
              </w:rPr>
              <w:t>No</w:t>
            </w:r>
          </w:p>
        </w:tc>
        <w:tc>
          <w:tcPr>
            <w:tcW w:w="1653" w:type="dxa"/>
          </w:tcPr>
          <w:p w:rsidR="008D3AF9" w:rsidRDefault="005C078D">
            <w:pPr>
              <w:tabs>
                <w:tab w:val="left" w:pos="567"/>
              </w:tabs>
              <w:spacing w:after="0"/>
              <w:rPr>
                <w:rFonts w:ascii="Arial" w:hAnsi="Arial" w:cs="Arial"/>
              </w:rPr>
            </w:pPr>
            <w:r>
              <w:rPr>
                <w:rFonts w:ascii="Arial" w:hAnsi="Arial" w:cs="Arial"/>
              </w:rPr>
              <w:t>Testing part:</w:t>
            </w:r>
          </w:p>
          <w:p w:rsidR="008D3AF9" w:rsidRDefault="005C078D">
            <w:pPr>
              <w:tabs>
                <w:tab w:val="left" w:pos="567"/>
              </w:tabs>
              <w:spacing w:after="0"/>
              <w:rPr>
                <w:rFonts w:ascii="Arial" w:hAnsi="Arial" w:cs="Arial"/>
                <w:lang w:eastAsia="ja-JP"/>
              </w:rPr>
            </w:pPr>
            <w:r>
              <w:rPr>
                <w:rFonts w:ascii="Arial" w:hAnsi="Arial" w:cs="Arial" w:hint="eastAsia"/>
                <w:lang w:eastAsia="ja-JP"/>
              </w:rPr>
              <w:t>No</w:t>
            </w:r>
          </w:p>
        </w:tc>
      </w:tr>
      <w:tr w:rsidR="008D3AF9">
        <w:tc>
          <w:tcPr>
            <w:tcW w:w="2436" w:type="dxa"/>
          </w:tcPr>
          <w:p w:rsidR="008D3AF9" w:rsidRDefault="005C078D">
            <w:pPr>
              <w:tabs>
                <w:tab w:val="left" w:pos="567"/>
              </w:tabs>
              <w:spacing w:after="0"/>
              <w:rPr>
                <w:rFonts w:ascii="Arial" w:hAnsi="Arial" w:cs="Arial"/>
                <w:b/>
              </w:rPr>
            </w:pPr>
            <w:r>
              <w:rPr>
                <w:rFonts w:ascii="Arial" w:hAnsi="Arial" w:cs="Arial"/>
                <w:b/>
              </w:rPr>
              <w:t>Acronym</w:t>
            </w:r>
          </w:p>
        </w:tc>
        <w:tc>
          <w:tcPr>
            <w:tcW w:w="7650" w:type="dxa"/>
            <w:gridSpan w:val="5"/>
          </w:tcPr>
          <w:p w:rsidR="008D3AF9" w:rsidRDefault="005C078D">
            <w:pPr>
              <w:tabs>
                <w:tab w:val="left" w:pos="567"/>
              </w:tabs>
              <w:spacing w:after="0"/>
              <w:rPr>
                <w:rFonts w:ascii="Arial" w:hAnsi="Arial" w:cs="Arial"/>
              </w:rPr>
            </w:pPr>
            <w:r>
              <w:rPr>
                <w:rFonts w:ascii="Arial" w:hAnsi="Arial" w:cs="Arial" w:hint="eastAsia"/>
              </w:rPr>
              <w:t>FS_NR_LPWUS</w:t>
            </w:r>
          </w:p>
        </w:tc>
      </w:tr>
      <w:tr w:rsidR="008D3AF9">
        <w:tc>
          <w:tcPr>
            <w:tcW w:w="2436" w:type="dxa"/>
          </w:tcPr>
          <w:p w:rsidR="008D3AF9" w:rsidRDefault="005C078D">
            <w:pPr>
              <w:tabs>
                <w:tab w:val="left" w:pos="567"/>
              </w:tabs>
              <w:spacing w:after="0"/>
              <w:rPr>
                <w:rFonts w:ascii="Arial" w:hAnsi="Arial" w:cs="Arial"/>
                <w:b/>
              </w:rPr>
            </w:pPr>
            <w:r>
              <w:rPr>
                <w:rFonts w:ascii="Arial" w:hAnsi="Arial" w:cs="Arial"/>
                <w:b/>
              </w:rPr>
              <w:t>Unique ID</w:t>
            </w:r>
          </w:p>
        </w:tc>
        <w:tc>
          <w:tcPr>
            <w:tcW w:w="7650" w:type="dxa"/>
            <w:gridSpan w:val="5"/>
          </w:tcPr>
          <w:p w:rsidR="008D3AF9" w:rsidRDefault="005C078D">
            <w:pPr>
              <w:tabs>
                <w:tab w:val="left" w:pos="567"/>
              </w:tabs>
              <w:spacing w:after="0"/>
              <w:rPr>
                <w:rFonts w:ascii="Arial" w:hAnsi="Arial" w:cs="Arial"/>
                <w:lang w:eastAsia="ja-JP"/>
              </w:rPr>
            </w:pPr>
            <w:r>
              <w:rPr>
                <w:rFonts w:ascii="Arial" w:hAnsi="Arial" w:cs="Arial" w:hint="eastAsia"/>
                <w:lang w:eastAsia="ja-JP"/>
              </w:rPr>
              <w:t>940085</w:t>
            </w:r>
          </w:p>
        </w:tc>
      </w:tr>
      <w:tr w:rsidR="008D3AF9">
        <w:tc>
          <w:tcPr>
            <w:tcW w:w="2436" w:type="dxa"/>
          </w:tcPr>
          <w:p w:rsidR="008D3AF9" w:rsidRDefault="005C078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8D3AF9" w:rsidRDefault="005C078D">
            <w:pPr>
              <w:tabs>
                <w:tab w:val="left" w:pos="567"/>
              </w:tabs>
              <w:spacing w:after="0"/>
              <w:rPr>
                <w:rFonts w:ascii="Arial" w:hAnsi="Arial" w:cs="Arial"/>
                <w:lang w:eastAsia="ja-JP"/>
              </w:rPr>
            </w:pPr>
            <w:r>
              <w:rPr>
                <w:rFonts w:ascii="Arial" w:hAnsi="Arial" w:cs="Arial" w:hint="eastAsia"/>
                <w:lang w:eastAsia="ja-JP"/>
              </w:rPr>
              <w:t>RP-213645</w:t>
            </w:r>
          </w:p>
        </w:tc>
      </w:tr>
      <w:tr w:rsidR="008D3AF9">
        <w:tc>
          <w:tcPr>
            <w:tcW w:w="2436" w:type="dxa"/>
          </w:tcPr>
          <w:p w:rsidR="008D3AF9" w:rsidRDefault="005C078D">
            <w:pPr>
              <w:tabs>
                <w:tab w:val="left" w:pos="567"/>
              </w:tabs>
              <w:spacing w:after="0"/>
              <w:rPr>
                <w:rFonts w:ascii="Arial" w:hAnsi="Arial" w:cs="Arial"/>
                <w:b/>
              </w:rPr>
            </w:pPr>
            <w:r>
              <w:rPr>
                <w:rFonts w:ascii="Arial" w:hAnsi="Arial" w:cs="Arial"/>
                <w:b/>
              </w:rPr>
              <w:t>Target Completion Date</w:t>
            </w:r>
          </w:p>
          <w:p w:rsidR="008D3AF9" w:rsidRDefault="005C078D">
            <w:pPr>
              <w:tabs>
                <w:tab w:val="left" w:pos="567"/>
              </w:tabs>
              <w:spacing w:after="0"/>
              <w:rPr>
                <w:rFonts w:ascii="Arial" w:hAnsi="Arial" w:cs="Arial"/>
                <w:b/>
              </w:rPr>
            </w:pPr>
            <w:r>
              <w:rPr>
                <w:rFonts w:ascii="Arial" w:hAnsi="Arial" w:cs="Arial"/>
                <w:b/>
              </w:rPr>
              <w:t>(indicate if changed)</w:t>
            </w:r>
          </w:p>
        </w:tc>
        <w:tc>
          <w:tcPr>
            <w:tcW w:w="1846" w:type="dxa"/>
          </w:tcPr>
          <w:p w:rsidR="008D3AF9" w:rsidRDefault="005C078D">
            <w:pPr>
              <w:tabs>
                <w:tab w:val="left" w:pos="567"/>
              </w:tabs>
              <w:spacing w:after="0"/>
              <w:rPr>
                <w:rFonts w:ascii="Arial" w:hAnsi="Arial" w:cs="Arial"/>
                <w:lang w:eastAsia="ja-JP"/>
              </w:rPr>
            </w:pPr>
            <w:r>
              <w:rPr>
                <w:rFonts w:ascii="Arial" w:hAnsi="Arial" w:cs="Arial"/>
                <w:lang w:eastAsia="ja-JP"/>
              </w:rPr>
              <w:t xml:space="preserve">Study Item: </w:t>
            </w:r>
          </w:p>
          <w:p w:rsidR="008D3AF9" w:rsidRDefault="005C078D">
            <w:pPr>
              <w:tabs>
                <w:tab w:val="left" w:pos="567"/>
              </w:tabs>
              <w:spacing w:after="0"/>
              <w:rPr>
                <w:rFonts w:ascii="Arial" w:eastAsia="宋体" w:hAnsi="Arial" w:cs="Arial"/>
                <w:lang w:val="en-US" w:eastAsia="zh-CN"/>
              </w:rPr>
            </w:pPr>
            <w:r>
              <w:rPr>
                <w:rFonts w:ascii="Arial" w:eastAsia="宋体" w:hAnsi="Arial" w:cs="Arial" w:hint="eastAsia"/>
                <w:lang w:val="en-US" w:eastAsia="zh-CN"/>
              </w:rPr>
              <w:t>12</w:t>
            </w:r>
            <w:r>
              <w:rPr>
                <w:rFonts w:ascii="Arial" w:hAnsi="Arial" w:cs="Arial"/>
                <w:lang w:eastAsia="ja-JP"/>
              </w:rPr>
              <w:t>/</w:t>
            </w:r>
            <w:r>
              <w:rPr>
                <w:rFonts w:ascii="Arial" w:eastAsia="宋体" w:hAnsi="Arial" w:cs="Arial" w:hint="eastAsia"/>
                <w:lang w:val="en-US" w:eastAsia="zh-CN"/>
              </w:rPr>
              <w:t>2023</w:t>
            </w:r>
          </w:p>
        </w:tc>
        <w:tc>
          <w:tcPr>
            <w:tcW w:w="1842" w:type="dxa"/>
          </w:tcPr>
          <w:p w:rsidR="008D3AF9" w:rsidRDefault="008D3AF9">
            <w:pPr>
              <w:tabs>
                <w:tab w:val="left" w:pos="567"/>
              </w:tabs>
              <w:spacing w:after="0"/>
              <w:rPr>
                <w:rFonts w:ascii="Arial" w:hAnsi="Arial" w:cs="Arial"/>
                <w:lang w:eastAsia="ja-JP"/>
              </w:rPr>
            </w:pPr>
          </w:p>
        </w:tc>
        <w:tc>
          <w:tcPr>
            <w:tcW w:w="2268" w:type="dxa"/>
          </w:tcPr>
          <w:p w:rsidR="008D3AF9" w:rsidRDefault="008D3AF9">
            <w:pPr>
              <w:tabs>
                <w:tab w:val="left" w:pos="567"/>
              </w:tabs>
              <w:spacing w:after="0"/>
              <w:rPr>
                <w:rFonts w:ascii="Arial" w:hAnsi="Arial" w:cs="Arial"/>
                <w:lang w:eastAsia="ja-JP"/>
              </w:rPr>
            </w:pPr>
          </w:p>
        </w:tc>
        <w:tc>
          <w:tcPr>
            <w:tcW w:w="1694" w:type="dxa"/>
            <w:gridSpan w:val="2"/>
          </w:tcPr>
          <w:p w:rsidR="008D3AF9" w:rsidRDefault="008D3AF9">
            <w:pPr>
              <w:tabs>
                <w:tab w:val="left" w:pos="567"/>
              </w:tabs>
              <w:spacing w:after="0"/>
              <w:rPr>
                <w:rFonts w:ascii="Arial" w:hAnsi="Arial" w:cs="Arial"/>
                <w:highlight w:val="yellow"/>
                <w:lang w:eastAsia="ja-JP"/>
              </w:rPr>
            </w:pPr>
          </w:p>
        </w:tc>
      </w:tr>
      <w:tr w:rsidR="008D3AF9">
        <w:tc>
          <w:tcPr>
            <w:tcW w:w="2436" w:type="dxa"/>
          </w:tcPr>
          <w:p w:rsidR="008D3AF9" w:rsidRDefault="005C078D">
            <w:pPr>
              <w:tabs>
                <w:tab w:val="left" w:pos="567"/>
              </w:tabs>
              <w:spacing w:after="0"/>
              <w:rPr>
                <w:rFonts w:ascii="Arial" w:hAnsi="Arial" w:cs="Arial"/>
                <w:b/>
              </w:rPr>
            </w:pPr>
            <w:r>
              <w:rPr>
                <w:rFonts w:ascii="Arial" w:hAnsi="Arial" w:cs="Arial"/>
                <w:b/>
              </w:rPr>
              <w:t>Overall Completion level</w:t>
            </w:r>
          </w:p>
        </w:tc>
        <w:tc>
          <w:tcPr>
            <w:tcW w:w="1846" w:type="dxa"/>
          </w:tcPr>
          <w:p w:rsidR="008D3AF9" w:rsidRDefault="005C078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8D3AF9" w:rsidRDefault="005C078D">
            <w:pPr>
              <w:tabs>
                <w:tab w:val="left" w:pos="567"/>
              </w:tabs>
              <w:spacing w:after="0"/>
              <w:rPr>
                <w:rFonts w:ascii="Arial" w:hAnsi="Arial" w:cs="Arial"/>
                <w:lang w:eastAsia="ja-JP"/>
              </w:rPr>
            </w:pPr>
            <w:r>
              <w:rPr>
                <w:rFonts w:ascii="Arial" w:hAnsi="Arial" w:cs="Arial" w:hint="eastAsia"/>
                <w:color w:val="00B050"/>
                <w:kern w:val="2"/>
                <w:sz w:val="21"/>
                <w:szCs w:val="22"/>
                <w:lang w:val="en-US" w:eastAsia="zh-CN"/>
              </w:rPr>
              <w:t xml:space="preserve">0 </w:t>
            </w:r>
            <w:r>
              <w:rPr>
                <w:rFonts w:ascii="Arial" w:hAnsi="Arial" w:cs="Arial" w:hint="eastAsia"/>
                <w:color w:val="00B050"/>
                <w:kern w:val="2"/>
                <w:sz w:val="21"/>
                <w:szCs w:val="22"/>
                <w:lang w:val="en-US" w:eastAsia="ja-JP"/>
              </w:rPr>
              <w:t>%</w:t>
            </w:r>
          </w:p>
        </w:tc>
        <w:tc>
          <w:tcPr>
            <w:tcW w:w="1842" w:type="dxa"/>
          </w:tcPr>
          <w:p w:rsidR="008D3AF9" w:rsidRDefault="008D3AF9">
            <w:pPr>
              <w:tabs>
                <w:tab w:val="left" w:pos="567"/>
              </w:tabs>
              <w:spacing w:after="0"/>
              <w:rPr>
                <w:rFonts w:ascii="Arial" w:hAnsi="Arial" w:cs="Arial"/>
                <w:lang w:eastAsia="ja-JP"/>
              </w:rPr>
            </w:pPr>
          </w:p>
        </w:tc>
        <w:tc>
          <w:tcPr>
            <w:tcW w:w="2268" w:type="dxa"/>
          </w:tcPr>
          <w:p w:rsidR="008D3AF9" w:rsidRDefault="008D3AF9">
            <w:pPr>
              <w:tabs>
                <w:tab w:val="left" w:pos="567"/>
              </w:tabs>
              <w:spacing w:after="0"/>
              <w:rPr>
                <w:rFonts w:ascii="Arial" w:hAnsi="Arial" w:cs="Arial"/>
                <w:lang w:eastAsia="ja-JP"/>
              </w:rPr>
            </w:pPr>
          </w:p>
        </w:tc>
        <w:tc>
          <w:tcPr>
            <w:tcW w:w="1694" w:type="dxa"/>
            <w:gridSpan w:val="2"/>
          </w:tcPr>
          <w:p w:rsidR="008D3AF9" w:rsidRDefault="008D3AF9">
            <w:pPr>
              <w:tabs>
                <w:tab w:val="left" w:pos="567"/>
              </w:tabs>
              <w:spacing w:after="0"/>
              <w:rPr>
                <w:rFonts w:ascii="Arial" w:hAnsi="Arial" w:cs="Arial"/>
                <w:highlight w:val="yellow"/>
                <w:lang w:eastAsia="ja-JP"/>
              </w:rPr>
            </w:pPr>
          </w:p>
        </w:tc>
      </w:tr>
    </w:tbl>
    <w:p w:rsidR="008D3AF9" w:rsidRDefault="005C078D">
      <w:pPr>
        <w:tabs>
          <w:tab w:val="left" w:pos="567"/>
        </w:tabs>
        <w:spacing w:after="0"/>
        <w:rPr>
          <w:rFonts w:ascii="Arial" w:hAnsi="Arial" w:cs="Arial"/>
        </w:rPr>
      </w:pPr>
      <w:r>
        <w:rPr>
          <w:rFonts w:ascii="Arial" w:hAnsi="Arial" w:cs="Arial"/>
        </w:rPr>
        <w:t xml:space="preserve">Note: </w:t>
      </w:r>
      <w:r>
        <w:rPr>
          <w:rFonts w:ascii="Arial" w:hAnsi="Arial" w:cs="Arial"/>
        </w:rPr>
        <w:t xml:space="preserve">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8D3AF9" w:rsidRDefault="005C078D">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8D3AF9" w:rsidRDefault="005C078D">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8D3AF9" w:rsidRDefault="005C078D">
      <w:pPr>
        <w:pStyle w:val="aff7"/>
        <w:numPr>
          <w:ilvl w:val="0"/>
          <w:numId w:val="4"/>
        </w:numPr>
        <w:tabs>
          <w:tab w:val="left" w:pos="567"/>
        </w:tabs>
        <w:ind w:leftChars="0"/>
        <w:rPr>
          <w:rFonts w:ascii="Arial" w:hAnsi="Arial" w:cs="Arial"/>
          <w:color w:val="FF0000"/>
        </w:rPr>
      </w:pPr>
      <w:r>
        <w:rPr>
          <w:rFonts w:ascii="Arial" w:hAnsi="Arial" w:cs="Arial"/>
          <w:color w:val="FF0000"/>
        </w:rPr>
        <w:t xml:space="preserve">xx%: </w:t>
      </w:r>
      <w:r>
        <w:rPr>
          <w:rFonts w:ascii="Arial" w:hAnsi="Arial" w:cs="Arial"/>
          <w:color w:val="FF0000"/>
        </w:rPr>
        <w:t>Progress critically behind, RAN plenary shall intervene. SR should define requested action</w:t>
      </w:r>
    </w:p>
    <w:p w:rsidR="008D3AF9" w:rsidRDefault="008D3AF9">
      <w:pPr>
        <w:pStyle w:val="aff7"/>
        <w:tabs>
          <w:tab w:val="left" w:pos="567"/>
        </w:tabs>
        <w:ind w:leftChars="0" w:left="924"/>
        <w:rPr>
          <w:rFonts w:ascii="Arial" w:hAnsi="Arial" w:cs="Arial"/>
          <w:color w:val="FF0000"/>
        </w:rPr>
      </w:pPr>
    </w:p>
    <w:p w:rsidR="008D3AF9" w:rsidRDefault="005C078D">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8D3AF9">
        <w:tc>
          <w:tcPr>
            <w:tcW w:w="2751" w:type="dxa"/>
            <w:gridSpan w:val="2"/>
          </w:tcPr>
          <w:p w:rsidR="008D3AF9" w:rsidRDefault="005C078D">
            <w:pPr>
              <w:tabs>
                <w:tab w:val="left" w:pos="567"/>
              </w:tabs>
              <w:spacing w:after="0"/>
              <w:rPr>
                <w:rFonts w:ascii="Arial" w:hAnsi="Arial" w:cs="Arial"/>
                <w:b/>
              </w:rPr>
            </w:pPr>
            <w:r>
              <w:rPr>
                <w:rFonts w:ascii="Arial" w:hAnsi="Arial" w:cs="Arial"/>
                <w:b/>
              </w:rPr>
              <w:t>Leading WG</w:t>
            </w:r>
          </w:p>
        </w:tc>
        <w:tc>
          <w:tcPr>
            <w:tcW w:w="7335" w:type="dxa"/>
          </w:tcPr>
          <w:p w:rsidR="008D3AF9" w:rsidRDefault="005C078D">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8D3AF9">
        <w:tc>
          <w:tcPr>
            <w:tcW w:w="1415" w:type="dxa"/>
            <w:vMerge w:val="restart"/>
            <w:vAlign w:val="center"/>
          </w:tcPr>
          <w:p w:rsidR="008D3AF9" w:rsidRDefault="005C078D">
            <w:pPr>
              <w:tabs>
                <w:tab w:val="left" w:pos="567"/>
              </w:tabs>
              <w:rPr>
                <w:rFonts w:ascii="Arial" w:hAnsi="Arial" w:cs="Arial"/>
                <w:b/>
              </w:rPr>
            </w:pPr>
            <w:r>
              <w:rPr>
                <w:rFonts w:ascii="Arial" w:hAnsi="Arial" w:cs="Arial"/>
                <w:b/>
              </w:rPr>
              <w:t>Rapporteur</w:t>
            </w:r>
          </w:p>
        </w:tc>
        <w:tc>
          <w:tcPr>
            <w:tcW w:w="1336" w:type="dxa"/>
          </w:tcPr>
          <w:p w:rsidR="008D3AF9" w:rsidRDefault="005C078D">
            <w:pPr>
              <w:tabs>
                <w:tab w:val="left" w:pos="567"/>
              </w:tabs>
              <w:spacing w:after="0"/>
              <w:rPr>
                <w:rFonts w:ascii="Arial" w:hAnsi="Arial" w:cs="Arial"/>
                <w:b/>
              </w:rPr>
            </w:pPr>
            <w:r>
              <w:rPr>
                <w:rFonts w:ascii="Arial" w:hAnsi="Arial" w:cs="Arial"/>
                <w:b/>
              </w:rPr>
              <w:t>Name</w:t>
            </w:r>
          </w:p>
        </w:tc>
        <w:tc>
          <w:tcPr>
            <w:tcW w:w="7335" w:type="dxa"/>
          </w:tcPr>
          <w:p w:rsidR="008D3AF9" w:rsidRDefault="005C078D">
            <w:pPr>
              <w:tabs>
                <w:tab w:val="left" w:pos="567"/>
              </w:tabs>
              <w:spacing w:after="0"/>
              <w:rPr>
                <w:rFonts w:ascii="Arial" w:eastAsia="宋体" w:hAnsi="Arial" w:cs="Arial"/>
                <w:lang w:val="en-US" w:eastAsia="zh-CN"/>
              </w:rPr>
            </w:pPr>
            <w:r>
              <w:rPr>
                <w:rFonts w:ascii="Arial" w:eastAsia="宋体" w:hAnsi="Arial" w:cs="Arial" w:hint="eastAsia"/>
                <w:lang w:val="en-US" w:eastAsia="zh-CN"/>
              </w:rPr>
              <w:t>Xiaodong Shen</w:t>
            </w:r>
          </w:p>
        </w:tc>
      </w:tr>
      <w:tr w:rsidR="008D3AF9">
        <w:tc>
          <w:tcPr>
            <w:tcW w:w="1415" w:type="dxa"/>
            <w:vMerge/>
          </w:tcPr>
          <w:p w:rsidR="008D3AF9" w:rsidRDefault="008D3AF9">
            <w:pPr>
              <w:tabs>
                <w:tab w:val="left" w:pos="567"/>
              </w:tabs>
              <w:rPr>
                <w:rFonts w:ascii="Arial" w:hAnsi="Arial" w:cs="Arial"/>
                <w:b/>
              </w:rPr>
            </w:pPr>
          </w:p>
        </w:tc>
        <w:tc>
          <w:tcPr>
            <w:tcW w:w="1336" w:type="dxa"/>
          </w:tcPr>
          <w:p w:rsidR="008D3AF9" w:rsidRDefault="005C078D">
            <w:pPr>
              <w:tabs>
                <w:tab w:val="left" w:pos="567"/>
              </w:tabs>
              <w:spacing w:after="0"/>
              <w:rPr>
                <w:rFonts w:ascii="Arial" w:hAnsi="Arial" w:cs="Arial"/>
                <w:b/>
              </w:rPr>
            </w:pPr>
            <w:r>
              <w:rPr>
                <w:rFonts w:ascii="Arial" w:hAnsi="Arial" w:cs="Arial"/>
                <w:b/>
              </w:rPr>
              <w:t>Company</w:t>
            </w:r>
          </w:p>
        </w:tc>
        <w:tc>
          <w:tcPr>
            <w:tcW w:w="7335" w:type="dxa"/>
          </w:tcPr>
          <w:p w:rsidR="008D3AF9" w:rsidRDefault="005C078D">
            <w:pPr>
              <w:tabs>
                <w:tab w:val="left" w:pos="567"/>
              </w:tabs>
              <w:spacing w:after="0"/>
              <w:rPr>
                <w:rFonts w:ascii="Arial" w:hAnsi="Arial" w:cs="Arial"/>
                <w:lang w:eastAsia="ja-JP"/>
              </w:rPr>
            </w:pPr>
            <w:r>
              <w:rPr>
                <w:rFonts w:ascii="Arial" w:hAnsi="Arial" w:cs="Arial" w:hint="eastAsia"/>
                <w:lang w:eastAsia="ja-JP"/>
              </w:rPr>
              <w:t>vivo Communication Technology</w:t>
            </w:r>
          </w:p>
        </w:tc>
      </w:tr>
      <w:tr w:rsidR="008D3AF9">
        <w:tc>
          <w:tcPr>
            <w:tcW w:w="1415" w:type="dxa"/>
            <w:vMerge/>
          </w:tcPr>
          <w:p w:rsidR="008D3AF9" w:rsidRDefault="008D3AF9">
            <w:pPr>
              <w:tabs>
                <w:tab w:val="left" w:pos="567"/>
              </w:tabs>
              <w:rPr>
                <w:rFonts w:ascii="Arial" w:hAnsi="Arial" w:cs="Arial"/>
                <w:b/>
              </w:rPr>
            </w:pPr>
          </w:p>
        </w:tc>
        <w:tc>
          <w:tcPr>
            <w:tcW w:w="1336" w:type="dxa"/>
          </w:tcPr>
          <w:p w:rsidR="008D3AF9" w:rsidRDefault="005C078D">
            <w:pPr>
              <w:tabs>
                <w:tab w:val="left" w:pos="567"/>
              </w:tabs>
              <w:spacing w:after="0"/>
              <w:rPr>
                <w:rFonts w:ascii="Arial" w:hAnsi="Arial" w:cs="Arial"/>
                <w:b/>
              </w:rPr>
            </w:pPr>
            <w:r>
              <w:rPr>
                <w:rFonts w:ascii="Arial" w:hAnsi="Arial" w:cs="Arial"/>
                <w:b/>
              </w:rPr>
              <w:t>Email</w:t>
            </w:r>
          </w:p>
        </w:tc>
        <w:tc>
          <w:tcPr>
            <w:tcW w:w="7335" w:type="dxa"/>
          </w:tcPr>
          <w:p w:rsidR="008D3AF9" w:rsidRDefault="005C078D">
            <w:pPr>
              <w:tabs>
                <w:tab w:val="left" w:pos="567"/>
              </w:tabs>
              <w:spacing w:after="0"/>
              <w:rPr>
                <w:rFonts w:ascii="Arial" w:eastAsia="宋体" w:hAnsi="Arial" w:cs="Arial"/>
                <w:lang w:val="en-US" w:eastAsia="zh-CN"/>
              </w:rPr>
            </w:pPr>
            <w:r>
              <w:rPr>
                <w:rFonts w:ascii="Arial" w:eastAsia="宋体" w:hAnsi="Arial" w:cs="Arial" w:hint="eastAsia"/>
                <w:lang w:val="en-US" w:eastAsia="zh-CN"/>
              </w:rPr>
              <w:t>shenxiaodong@vivo.com</w:t>
            </w:r>
          </w:p>
        </w:tc>
      </w:tr>
    </w:tbl>
    <w:p w:rsidR="008D3AF9" w:rsidRDefault="008D3AF9">
      <w:pPr>
        <w:pBdr>
          <w:bottom w:val="single" w:sz="4" w:space="1" w:color="auto"/>
        </w:pBdr>
        <w:spacing w:after="0"/>
        <w:rPr>
          <w:rFonts w:ascii="Arial" w:hAnsi="Arial" w:cs="Arial"/>
        </w:rPr>
      </w:pPr>
    </w:p>
    <w:p w:rsidR="008D3AF9" w:rsidRDefault="008D3AF9">
      <w:pPr>
        <w:pBdr>
          <w:bottom w:val="single" w:sz="4" w:space="1" w:color="auto"/>
        </w:pBdr>
        <w:rPr>
          <w:rFonts w:ascii="Arial" w:hAnsi="Arial" w:cs="Arial"/>
        </w:rPr>
      </w:pPr>
    </w:p>
    <w:p w:rsidR="008D3AF9" w:rsidRDefault="005C078D">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8D3AF9">
        <w:trPr>
          <w:jc w:val="center"/>
        </w:trPr>
        <w:tc>
          <w:tcPr>
            <w:tcW w:w="6185" w:type="dxa"/>
            <w:shd w:val="clear" w:color="auto" w:fill="E0E0E0"/>
          </w:tcPr>
          <w:p w:rsidR="008D3AF9" w:rsidRDefault="005C078D">
            <w:pPr>
              <w:pStyle w:val="TAL"/>
              <w:jc w:val="center"/>
              <w:rPr>
                <w:b/>
                <w:bCs/>
              </w:rPr>
            </w:pPr>
            <w:r>
              <w:rPr>
                <w:b/>
                <w:bCs/>
              </w:rPr>
              <w:t xml:space="preserve">Do </w:t>
            </w:r>
            <w:r>
              <w:rPr>
                <w:b/>
                <w:bCs/>
              </w:rPr>
              <w:t>you want to modify the time budget for this WI/SI compared to what was endorsed at the last RAN meeting?</w:t>
            </w:r>
          </w:p>
        </w:tc>
        <w:tc>
          <w:tcPr>
            <w:tcW w:w="1037" w:type="dxa"/>
            <w:vAlign w:val="center"/>
          </w:tcPr>
          <w:p w:rsidR="008D3AF9" w:rsidRDefault="005C078D">
            <w:pPr>
              <w:pStyle w:val="TAL"/>
              <w:jc w:val="center"/>
              <w:rPr>
                <w:color w:val="FF0000"/>
                <w:lang w:eastAsia="ja-JP"/>
              </w:rPr>
            </w:pPr>
            <w:r>
              <w:rPr>
                <w:lang w:eastAsia="ja-JP"/>
              </w:rPr>
              <w:t>No</w:t>
            </w:r>
          </w:p>
        </w:tc>
      </w:tr>
    </w:tbl>
    <w:p w:rsidR="008D3AF9" w:rsidRDefault="008D3AF9">
      <w:pPr>
        <w:spacing w:after="0"/>
        <w:rPr>
          <w:rFonts w:ascii="Arial" w:hAnsi="Arial" w:cs="Arial"/>
        </w:rPr>
      </w:pPr>
    </w:p>
    <w:p w:rsidR="008D3AF9" w:rsidRDefault="005C078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8D3AF9" w:rsidRDefault="005C078D">
      <w:pPr>
        <w:pStyle w:val="NO"/>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up to the target date of the WI/SI. The basis are the endorsed time budget</w:t>
      </w:r>
      <w:r>
        <w:rPr>
          <w:rFonts w:ascii="Arial" w:hAnsi="Arial" w:cs="Arial"/>
          <w:i/>
        </w:rPr>
        <w:t xml:space="preserve">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 xml:space="preserve">line for each in the attached </w:t>
      </w:r>
      <w:r>
        <w:rPr>
          <w:rFonts w:ascii="Arial" w:hAnsi="Arial" w:cs="Arial"/>
          <w:i/>
        </w:rPr>
        <w:t>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8D3AF9" w:rsidRDefault="005C078D">
      <w:pPr>
        <w:spacing w:after="0"/>
        <w:rPr>
          <w:rFonts w:ascii="Arial" w:hAnsi="Arial" w:cs="Arial"/>
          <w:b/>
        </w:rPr>
      </w:pPr>
      <w:r>
        <w:rPr>
          <w:rFonts w:ascii="Arial" w:hAnsi="Arial" w:cs="Arial"/>
          <w:b/>
        </w:rPr>
        <w:t>Additional explanations/motivations for the time budget changes in the attached Excel table:</w:t>
      </w:r>
    </w:p>
    <w:p w:rsidR="008D3AF9" w:rsidRDefault="008D3AF9">
      <w:pPr>
        <w:spacing w:after="0"/>
        <w:rPr>
          <w:rFonts w:ascii="Arial" w:hAnsi="Arial" w:cs="Arial"/>
        </w:rPr>
      </w:pPr>
    </w:p>
    <w:p w:rsidR="008D3AF9" w:rsidRDefault="008D3AF9">
      <w:pPr>
        <w:spacing w:after="0"/>
        <w:rPr>
          <w:rFonts w:ascii="Arial" w:hAnsi="Arial" w:cs="Arial"/>
        </w:rPr>
      </w:pPr>
    </w:p>
    <w:p w:rsidR="008D3AF9" w:rsidRDefault="005C078D">
      <w:pPr>
        <w:pStyle w:val="2"/>
      </w:pPr>
      <w:r>
        <w:t>2.</w:t>
      </w:r>
      <w:r>
        <w:tab/>
        <w:t>Detailed progress in RAN WGs since last TSG meeting (for all involv</w:t>
      </w:r>
      <w:r>
        <w:t>ed WGs)</w:t>
      </w:r>
    </w:p>
    <w:p w:rsidR="008D3AF9" w:rsidRDefault="005C078D">
      <w:pPr>
        <w:rPr>
          <w:rFonts w:ascii="Arial" w:hAnsi="Arial" w:cs="Arial"/>
        </w:rPr>
      </w:pPr>
      <w:r>
        <w:tab/>
      </w:r>
      <w:r>
        <w:rPr>
          <w:rFonts w:ascii="Arial" w:hAnsi="Arial" w:cs="Arial"/>
          <w:color w:val="FF0000"/>
        </w:rPr>
        <w:t>NOTE: Agreements and Open issues impacted cross-TSG aspects shall be explicitly highlighted</w:t>
      </w:r>
    </w:p>
    <w:p w:rsidR="008D3AF9" w:rsidRDefault="005C078D">
      <w:pPr>
        <w:pStyle w:val="2"/>
        <w:rPr>
          <w:lang w:eastAsia="ja-JP"/>
        </w:rPr>
      </w:pPr>
      <w:r>
        <w:rPr>
          <w:lang w:eastAsia="ja-JP"/>
        </w:rPr>
        <w:lastRenderedPageBreak/>
        <w:t>2.1</w:t>
      </w:r>
      <w:r>
        <w:rPr>
          <w:lang w:eastAsia="ja-JP"/>
        </w:rPr>
        <w:tab/>
      </w:r>
      <w:r>
        <w:rPr>
          <w:rFonts w:hint="eastAsia"/>
          <w:lang w:eastAsia="ja-JP"/>
        </w:rPr>
        <w:t>RAN1</w:t>
      </w:r>
    </w:p>
    <w:p w:rsidR="008D3AF9" w:rsidRDefault="005C078D">
      <w:pPr>
        <w:pStyle w:val="4"/>
        <w:rPr>
          <w:lang w:eastAsia="ja-JP"/>
        </w:rPr>
      </w:pPr>
      <w:r>
        <w:rPr>
          <w:lang w:eastAsia="ja-JP"/>
        </w:rPr>
        <w:t>2.1.1</w:t>
      </w:r>
      <w:r>
        <w:rPr>
          <w:lang w:eastAsia="ja-JP"/>
        </w:rPr>
        <w:tab/>
        <w:t>Agreements</w:t>
      </w:r>
    </w:p>
    <w:p w:rsidR="008D3AF9" w:rsidRDefault="005C078D">
      <w:pPr>
        <w:pStyle w:val="4"/>
        <w:rPr>
          <w:lang w:eastAsia="ja-JP"/>
        </w:rPr>
      </w:pPr>
      <w:r>
        <w:rPr>
          <w:lang w:eastAsia="ja-JP"/>
        </w:rPr>
        <w:t>2.1.2</w:t>
      </w:r>
      <w:r>
        <w:rPr>
          <w:lang w:eastAsia="ja-JP"/>
        </w:rPr>
        <w:tab/>
        <w:t>Remaining Open issues</w:t>
      </w:r>
    </w:p>
    <w:p w:rsidR="008D3AF9" w:rsidRDefault="005C078D">
      <w:pPr>
        <w:rPr>
          <w:lang w:eastAsia="ja-JP"/>
        </w:rPr>
      </w:pPr>
      <w:r>
        <w:rPr>
          <w:lang w:eastAsia="ja-JP"/>
        </w:rPr>
        <w:t>The following opens need to be addressed:</w:t>
      </w:r>
    </w:p>
    <w:p w:rsidR="008D3AF9" w:rsidRDefault="005C078D">
      <w:pPr>
        <w:numPr>
          <w:ilvl w:val="0"/>
          <w:numId w:val="5"/>
        </w:numPr>
        <w:ind w:right="-99"/>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w:t>
      </w:r>
      <w:r>
        <w:rPr>
          <w:rFonts w:hint="eastAsia"/>
          <w:lang w:val="en-US" w:eastAsia="ja-JP"/>
        </w:rPr>
        <w:t xml:space="preserve"> KPIs [RAN1]</w:t>
      </w:r>
    </w:p>
    <w:p w:rsidR="008D3AF9" w:rsidRDefault="005C078D">
      <w:pPr>
        <w:numPr>
          <w:ilvl w:val="1"/>
          <w:numId w:val="5"/>
        </w:numPr>
        <w:ind w:right="-99"/>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rsidR="008D3AF9" w:rsidRDefault="005C078D">
      <w:pPr>
        <w:numPr>
          <w:ilvl w:val="2"/>
          <w:numId w:val="5"/>
        </w:numPr>
        <w:ind w:right="-99"/>
        <w:rPr>
          <w:lang w:val="en-US" w:eastAsia="ja-JP"/>
        </w:rPr>
      </w:pPr>
      <w:r>
        <w:rPr>
          <w:lang w:eastAsia="ja-JP"/>
        </w:rPr>
        <w:t>Other use cases are not precluded</w:t>
      </w:r>
    </w:p>
    <w:p w:rsidR="008D3AF9" w:rsidRDefault="005C078D">
      <w:pPr>
        <w:numPr>
          <w:ilvl w:val="0"/>
          <w:numId w:val="5"/>
        </w:numPr>
        <w:ind w:right="-99"/>
        <w:rPr>
          <w:lang w:val="en-US" w:eastAsia="ja-JP"/>
        </w:rPr>
      </w:pPr>
      <w:r>
        <w:rPr>
          <w:rFonts w:hint="eastAsia"/>
          <w:lang w:val="en-US" w:eastAsia="ja-JP"/>
        </w:rPr>
        <w:t xml:space="preserve">Study and evaluate low-power wake-up receiver architectures [RAN1, RAN4] </w:t>
      </w:r>
    </w:p>
    <w:p w:rsidR="008D3AF9" w:rsidRDefault="005C078D">
      <w:pPr>
        <w:numPr>
          <w:ilvl w:val="0"/>
          <w:numId w:val="5"/>
        </w:numPr>
        <w:ind w:right="-99"/>
        <w:rPr>
          <w:lang w:val="en-US" w:eastAsia="ja-JP"/>
        </w:rPr>
      </w:pPr>
      <w:r>
        <w:rPr>
          <w:rFonts w:hint="eastAsia"/>
          <w:lang w:val="en-US" w:eastAsia="ja-JP"/>
        </w:rPr>
        <w:t xml:space="preserve">Study and evaluate wake-up signal designs to support wake-up receivers [RAN1, RAN4] </w:t>
      </w:r>
    </w:p>
    <w:p w:rsidR="008D3AF9" w:rsidRDefault="005C078D">
      <w:pPr>
        <w:numPr>
          <w:ilvl w:val="0"/>
          <w:numId w:val="5"/>
        </w:numPr>
        <w:ind w:right="-99"/>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rsidR="008D3AF9" w:rsidRDefault="005C078D">
      <w:pPr>
        <w:numPr>
          <w:ilvl w:val="0"/>
          <w:numId w:val="5"/>
        </w:numPr>
        <w:ind w:right="-99"/>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non</w:t>
      </w:r>
      <w:r>
        <w:rPr>
          <w:lang w:eastAsia="ja-JP"/>
        </w:rPr>
        <w:t xml:space="preserve">-low-power-WUR </w:t>
      </w:r>
      <w:r>
        <w:rPr>
          <w:lang w:val="en-US" w:eastAsia="ja-JP"/>
        </w:rPr>
        <w:t>UEs, network coverage</w:t>
      </w:r>
      <w:r>
        <w:rPr>
          <w:lang w:eastAsia="ja-JP"/>
        </w:rPr>
        <w:t>/capacity/resource overhead should be included in the study</w:t>
      </w:r>
      <w:r>
        <w:rPr>
          <w:lang w:val="en-US" w:eastAsia="ja-JP"/>
        </w:rPr>
        <w:t xml:space="preserve"> [RAN1]</w:t>
      </w:r>
    </w:p>
    <w:p w:rsidR="008D3AF9" w:rsidRDefault="005C078D">
      <w:pPr>
        <w:numPr>
          <w:ilvl w:val="1"/>
          <w:numId w:val="5"/>
        </w:numPr>
        <w:ind w:right="-99"/>
        <w:rPr>
          <w:lang w:eastAsia="ja-JP"/>
        </w:rPr>
      </w:pPr>
      <w:r>
        <w:rPr>
          <w:rFonts w:eastAsiaTheme="minorEastAsia"/>
          <w:lang w:val="en-US" w:eastAsia="zh-CN"/>
        </w:rPr>
        <w:t xml:space="preserve">Note: The need for RAN2 evaluation will be triggered by RAN1 when necessary. </w:t>
      </w:r>
    </w:p>
    <w:p w:rsidR="008D3AF9" w:rsidRDefault="005C078D">
      <w:pPr>
        <w:pStyle w:val="2"/>
        <w:rPr>
          <w:lang w:eastAsia="ja-JP"/>
        </w:rPr>
      </w:pPr>
      <w:r>
        <w:rPr>
          <w:lang w:eastAsia="ja-JP"/>
        </w:rPr>
        <w:t>2.2</w:t>
      </w:r>
      <w:r>
        <w:rPr>
          <w:lang w:eastAsia="ja-JP"/>
        </w:rPr>
        <w:tab/>
      </w:r>
      <w:r>
        <w:rPr>
          <w:rFonts w:hint="eastAsia"/>
          <w:lang w:eastAsia="ja-JP"/>
        </w:rPr>
        <w:t>RAN2</w:t>
      </w:r>
    </w:p>
    <w:p w:rsidR="008D3AF9" w:rsidRDefault="005C078D">
      <w:pPr>
        <w:pStyle w:val="4"/>
        <w:rPr>
          <w:lang w:eastAsia="ja-JP"/>
        </w:rPr>
      </w:pPr>
      <w:r>
        <w:rPr>
          <w:lang w:eastAsia="ja-JP"/>
        </w:rPr>
        <w:t>2.2.1</w:t>
      </w:r>
      <w:r>
        <w:rPr>
          <w:lang w:eastAsia="ja-JP"/>
        </w:rPr>
        <w:tab/>
        <w:t>Agreements</w:t>
      </w:r>
    </w:p>
    <w:p w:rsidR="008D3AF9" w:rsidRDefault="005C078D">
      <w:pPr>
        <w:pStyle w:val="4"/>
        <w:rPr>
          <w:lang w:eastAsia="ja-JP"/>
        </w:rPr>
      </w:pPr>
      <w:r>
        <w:rPr>
          <w:lang w:eastAsia="ja-JP"/>
        </w:rPr>
        <w:t>2.2.2</w:t>
      </w:r>
      <w:r>
        <w:rPr>
          <w:lang w:eastAsia="ja-JP"/>
        </w:rPr>
        <w:tab/>
        <w:t xml:space="preserve">Remaining Open issues </w:t>
      </w:r>
    </w:p>
    <w:p w:rsidR="008D3AF9" w:rsidRDefault="005C078D">
      <w:pPr>
        <w:rPr>
          <w:lang w:eastAsia="ja-JP"/>
        </w:rPr>
      </w:pPr>
      <w:r>
        <w:rPr>
          <w:lang w:eastAsia="ja-JP"/>
        </w:rPr>
        <w:t xml:space="preserve">The following opens </w:t>
      </w:r>
      <w:r>
        <w:rPr>
          <w:lang w:eastAsia="ja-JP"/>
        </w:rPr>
        <w:t>need to be addressed:</w:t>
      </w:r>
    </w:p>
    <w:p w:rsidR="008D3AF9" w:rsidRDefault="005C078D">
      <w:pPr>
        <w:numPr>
          <w:ilvl w:val="0"/>
          <w:numId w:val="5"/>
        </w:numPr>
        <w:ind w:right="-99"/>
        <w:rPr>
          <w:lang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rsidR="008D3AF9" w:rsidRDefault="005C078D">
      <w:pPr>
        <w:pStyle w:val="2"/>
        <w:rPr>
          <w:lang w:eastAsia="ja-JP"/>
        </w:rPr>
      </w:pPr>
      <w:r>
        <w:rPr>
          <w:lang w:eastAsia="ja-JP"/>
        </w:rPr>
        <w:t>2.3</w:t>
      </w:r>
      <w:r>
        <w:rPr>
          <w:lang w:eastAsia="ja-JP"/>
        </w:rPr>
        <w:tab/>
      </w:r>
      <w:r>
        <w:rPr>
          <w:rFonts w:hint="eastAsia"/>
          <w:lang w:eastAsia="ja-JP"/>
        </w:rPr>
        <w:t>RAN3</w:t>
      </w:r>
    </w:p>
    <w:p w:rsidR="008D3AF9" w:rsidRDefault="005C078D">
      <w:pPr>
        <w:pStyle w:val="4"/>
        <w:rPr>
          <w:lang w:eastAsia="ja-JP"/>
        </w:rPr>
      </w:pPr>
      <w:r>
        <w:rPr>
          <w:lang w:eastAsia="ja-JP"/>
        </w:rPr>
        <w:t>2.3.1</w:t>
      </w:r>
      <w:r>
        <w:rPr>
          <w:lang w:eastAsia="ja-JP"/>
        </w:rPr>
        <w:tab/>
        <w:t>Agreements</w:t>
      </w:r>
    </w:p>
    <w:p w:rsidR="008D3AF9" w:rsidRDefault="005C078D">
      <w:pPr>
        <w:pStyle w:val="4"/>
        <w:rPr>
          <w:rFonts w:cs="Arial"/>
          <w:lang w:eastAsia="ja-JP"/>
        </w:rPr>
      </w:pPr>
      <w:r>
        <w:rPr>
          <w:lang w:eastAsia="ja-JP"/>
        </w:rPr>
        <w:t>2.3.2</w:t>
      </w:r>
      <w:r>
        <w:rPr>
          <w:lang w:eastAsia="ja-JP"/>
        </w:rPr>
        <w:tab/>
        <w:t>Remaining Open issues</w:t>
      </w:r>
    </w:p>
    <w:p w:rsidR="008D3AF9" w:rsidRDefault="005C078D">
      <w:pPr>
        <w:pStyle w:val="2"/>
        <w:rPr>
          <w:lang w:eastAsia="ja-JP"/>
        </w:rPr>
      </w:pPr>
      <w:r>
        <w:rPr>
          <w:lang w:eastAsia="ja-JP"/>
        </w:rPr>
        <w:t>2.4</w:t>
      </w:r>
      <w:r>
        <w:rPr>
          <w:lang w:eastAsia="ja-JP"/>
        </w:rPr>
        <w:tab/>
      </w:r>
      <w:r>
        <w:rPr>
          <w:rFonts w:hint="eastAsia"/>
          <w:lang w:eastAsia="ja-JP"/>
        </w:rPr>
        <w:t>RAN4</w:t>
      </w:r>
    </w:p>
    <w:p w:rsidR="008D3AF9" w:rsidRDefault="005C078D">
      <w:pPr>
        <w:pStyle w:val="4"/>
        <w:rPr>
          <w:lang w:eastAsia="ja-JP"/>
        </w:rPr>
      </w:pPr>
      <w:r>
        <w:rPr>
          <w:lang w:eastAsia="ja-JP"/>
        </w:rPr>
        <w:t>2.4.1</w:t>
      </w:r>
      <w:r>
        <w:rPr>
          <w:lang w:eastAsia="ja-JP"/>
        </w:rPr>
        <w:tab/>
        <w:t>Agreements</w:t>
      </w:r>
    </w:p>
    <w:p w:rsidR="008D3AF9" w:rsidRDefault="005C078D">
      <w:pPr>
        <w:pStyle w:val="4"/>
        <w:rPr>
          <w:lang w:eastAsia="ja-JP"/>
        </w:rPr>
      </w:pPr>
      <w:r>
        <w:rPr>
          <w:lang w:eastAsia="ja-JP"/>
        </w:rPr>
        <w:t>2.4.2</w:t>
      </w:r>
      <w:r>
        <w:rPr>
          <w:lang w:eastAsia="ja-JP"/>
        </w:rPr>
        <w:tab/>
        <w:t>Remaining Open issues</w:t>
      </w:r>
    </w:p>
    <w:p w:rsidR="008D3AF9" w:rsidRDefault="005C078D">
      <w:pPr>
        <w:rPr>
          <w:lang w:eastAsia="ja-JP"/>
        </w:rPr>
      </w:pPr>
      <w:r>
        <w:rPr>
          <w:lang w:eastAsia="ja-JP"/>
        </w:rPr>
        <w:t>The fo</w:t>
      </w:r>
      <w:r>
        <w:rPr>
          <w:lang w:eastAsia="ja-JP"/>
        </w:rPr>
        <w:t>llowing opens need to be addressed:</w:t>
      </w:r>
    </w:p>
    <w:p w:rsidR="008D3AF9" w:rsidRDefault="005C078D">
      <w:pPr>
        <w:numPr>
          <w:ilvl w:val="0"/>
          <w:numId w:val="5"/>
        </w:numPr>
        <w:ind w:right="-99"/>
        <w:rPr>
          <w:lang w:val="en-US" w:eastAsia="ja-JP"/>
        </w:rPr>
      </w:pPr>
      <w:r>
        <w:rPr>
          <w:rFonts w:hint="eastAsia"/>
          <w:lang w:val="en-US" w:eastAsia="ja-JP"/>
        </w:rPr>
        <w:t xml:space="preserve">Study and evaluate low-power wake-up receiver architectures [RAN1, RAN4] </w:t>
      </w:r>
    </w:p>
    <w:p w:rsidR="008D3AF9" w:rsidRDefault="005C078D">
      <w:pPr>
        <w:numPr>
          <w:ilvl w:val="0"/>
          <w:numId w:val="5"/>
        </w:numPr>
        <w:ind w:right="-99"/>
        <w:rPr>
          <w:lang w:eastAsia="ja-JP"/>
        </w:rPr>
      </w:pPr>
      <w:r>
        <w:rPr>
          <w:rFonts w:hint="eastAsia"/>
          <w:lang w:val="en-US" w:eastAsia="ja-JP"/>
        </w:rPr>
        <w:t xml:space="preserve">Study and evaluate wake-up signal designs to support wake-up receivers [RAN1, RAN4] </w:t>
      </w:r>
    </w:p>
    <w:p w:rsidR="008D3AF9" w:rsidRDefault="005C078D">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D3AF9" w:rsidRDefault="005C078D">
      <w:pPr>
        <w:pStyle w:val="4"/>
        <w:rPr>
          <w:lang w:eastAsia="ja-JP"/>
        </w:rPr>
      </w:pPr>
      <w:r>
        <w:rPr>
          <w:lang w:eastAsia="ja-JP"/>
        </w:rPr>
        <w:t>2.5.1</w:t>
      </w:r>
      <w:r>
        <w:rPr>
          <w:lang w:eastAsia="ja-JP"/>
        </w:rPr>
        <w:tab/>
        <w:t>Agreements</w:t>
      </w:r>
    </w:p>
    <w:p w:rsidR="008D3AF9" w:rsidRDefault="005C078D">
      <w:pPr>
        <w:pStyle w:val="4"/>
        <w:rPr>
          <w:lang w:eastAsia="ja-JP"/>
        </w:rPr>
      </w:pPr>
      <w:r>
        <w:rPr>
          <w:lang w:eastAsia="ja-JP"/>
        </w:rPr>
        <w:t>2.5.2</w:t>
      </w:r>
      <w:r>
        <w:rPr>
          <w:lang w:eastAsia="ja-JP"/>
        </w:rPr>
        <w:tab/>
        <w:t>Remaining Open issues</w:t>
      </w:r>
    </w:p>
    <w:p w:rsidR="008D3AF9" w:rsidRDefault="005C078D">
      <w:pPr>
        <w:pStyle w:val="4"/>
        <w:rPr>
          <w:lang w:eastAsia="ja-JP"/>
        </w:rPr>
      </w:pPr>
      <w:r>
        <w:rPr>
          <w:lang w:eastAsia="ja-JP"/>
        </w:rPr>
        <w:t>2.5.3</w:t>
      </w:r>
      <w:r>
        <w:rPr>
          <w:lang w:eastAsia="ja-JP"/>
        </w:rPr>
        <w:tab/>
        <w:t>R</w:t>
      </w:r>
      <w:r>
        <w:rPr>
          <w:lang w:eastAsia="ja-JP"/>
        </w:rPr>
        <w:t>emaining Open issues with cross-WG dependencies</w:t>
      </w:r>
    </w:p>
    <w:p w:rsidR="008D3AF9" w:rsidRDefault="005C078D">
      <w:pPr>
        <w:pStyle w:val="2"/>
        <w:rPr>
          <w:lang w:eastAsia="ja-JP"/>
        </w:rPr>
      </w:pPr>
      <w:r>
        <w:rPr>
          <w:lang w:eastAsia="ja-JP"/>
        </w:rPr>
        <w:t>2.6</w:t>
      </w:r>
      <w:r>
        <w:rPr>
          <w:lang w:eastAsia="ja-JP"/>
        </w:rPr>
        <w:tab/>
      </w:r>
      <w:r>
        <w:rPr>
          <w:rFonts w:hint="eastAsia"/>
          <w:lang w:eastAsia="ja-JP"/>
        </w:rPr>
        <w:t>RAN6</w:t>
      </w:r>
    </w:p>
    <w:p w:rsidR="008D3AF9" w:rsidRDefault="005C078D">
      <w:pPr>
        <w:pStyle w:val="4"/>
        <w:rPr>
          <w:lang w:eastAsia="ja-JP"/>
        </w:rPr>
      </w:pPr>
      <w:r>
        <w:rPr>
          <w:lang w:eastAsia="ja-JP"/>
        </w:rPr>
        <w:t>2.6.1</w:t>
      </w:r>
      <w:r>
        <w:rPr>
          <w:lang w:eastAsia="ja-JP"/>
        </w:rPr>
        <w:tab/>
        <w:t>Agreements</w:t>
      </w:r>
    </w:p>
    <w:p w:rsidR="008D3AF9" w:rsidRDefault="005C078D">
      <w:pPr>
        <w:pStyle w:val="4"/>
        <w:rPr>
          <w:rFonts w:cs="Arial"/>
          <w:lang w:eastAsia="ja-JP"/>
        </w:rPr>
      </w:pPr>
      <w:r>
        <w:rPr>
          <w:lang w:eastAsia="ja-JP"/>
        </w:rPr>
        <w:t>2.6.2</w:t>
      </w:r>
      <w:r>
        <w:rPr>
          <w:lang w:eastAsia="ja-JP"/>
        </w:rPr>
        <w:tab/>
        <w:t>Remaining Open issues</w:t>
      </w:r>
    </w:p>
    <w:p w:rsidR="008D3AF9" w:rsidRDefault="008D3AF9">
      <w:pPr>
        <w:pStyle w:val="4"/>
        <w:rPr>
          <w:rFonts w:cs="Arial"/>
        </w:rPr>
      </w:pPr>
    </w:p>
    <w:p w:rsidR="008D3AF9" w:rsidRDefault="005C078D">
      <w:pPr>
        <w:pStyle w:val="2"/>
      </w:pPr>
      <w:r>
        <w:t>3.</w:t>
      </w:r>
      <w:r>
        <w:tab/>
        <w:t>Detailed progress in SA/CT WGs since last TSG meeting (for all involved WGs)</w:t>
      </w:r>
    </w:p>
    <w:p w:rsidR="008D3AF9" w:rsidRDefault="005C078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8D3AF9" w:rsidRDefault="005C078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8D3AF9" w:rsidRDefault="005C078D">
      <w:pPr>
        <w:pStyle w:val="4"/>
        <w:rPr>
          <w:lang w:eastAsia="ja-JP"/>
        </w:rPr>
      </w:pPr>
      <w:r>
        <w:rPr>
          <w:lang w:eastAsia="ja-JP"/>
        </w:rPr>
        <w:t>3.1.1</w:t>
      </w:r>
      <w:r>
        <w:rPr>
          <w:lang w:eastAsia="ja-JP"/>
        </w:rPr>
        <w:tab/>
        <w:t>Agreements with cross-TSG impacts</w:t>
      </w:r>
    </w:p>
    <w:p w:rsidR="008D3AF9" w:rsidRDefault="005C078D">
      <w:pPr>
        <w:pStyle w:val="4"/>
        <w:rPr>
          <w:lang w:eastAsia="ja-JP"/>
        </w:rPr>
      </w:pPr>
      <w:r>
        <w:rPr>
          <w:lang w:eastAsia="ja-JP"/>
        </w:rPr>
        <w:t>3.1.2</w:t>
      </w:r>
      <w:r>
        <w:rPr>
          <w:lang w:eastAsia="ja-JP"/>
        </w:rPr>
        <w:tab/>
        <w:t>Remaining Open issues with cross-TSG impacts</w:t>
      </w:r>
    </w:p>
    <w:p w:rsidR="008D3AF9" w:rsidRDefault="005C078D">
      <w:pPr>
        <w:ind w:firstLine="567"/>
        <w:rPr>
          <w:rFonts w:ascii="Arial" w:hAnsi="Arial" w:cs="Arial"/>
          <w:iCs/>
          <w:color w:val="FF0000"/>
        </w:rPr>
      </w:pPr>
      <w:r>
        <w:rPr>
          <w:rFonts w:ascii="Arial" w:hAnsi="Arial" w:cs="Arial"/>
          <w:iCs/>
          <w:color w:val="FF0000"/>
        </w:rPr>
        <w:t>NOTE: This section should also flag any</w:t>
      </w:r>
      <w:r>
        <w:rPr>
          <w:rFonts w:ascii="Arial" w:hAnsi="Arial" w:cs="Arial"/>
          <w:iCs/>
          <w:color w:val="FF0000"/>
        </w:rPr>
        <w:t xml:space="preserve"> critical dependencies that need TSG attention. </w:t>
      </w:r>
      <w:r>
        <w:rPr>
          <w:rFonts w:ascii="Arial" w:hAnsi="Arial" w:cs="Arial"/>
          <w:iCs/>
          <w:color w:val="FF0000"/>
        </w:rPr>
        <w:br/>
      </w:r>
      <w:r>
        <w:rPr>
          <w:rFonts w:ascii="Arial" w:hAnsi="Arial" w:cs="Arial"/>
          <w:iCs/>
          <w:color w:val="FF0000"/>
        </w:rPr>
        <w:tab/>
      </w:r>
    </w:p>
    <w:p w:rsidR="008D3AF9" w:rsidRDefault="005C078D">
      <w:pPr>
        <w:pStyle w:val="2"/>
      </w:pPr>
      <w:r>
        <w:t>4.</w:t>
      </w:r>
      <w:r>
        <w:tab/>
        <w:t>References</w:t>
      </w:r>
    </w:p>
    <w:p w:rsidR="008D3AF9" w:rsidRDefault="005C078D">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8D3AF9" w:rsidRDefault="008D3AF9">
      <w:pPr>
        <w:overflowPunct/>
        <w:autoSpaceDE/>
        <w:autoSpaceDN/>
        <w:snapToGrid w:val="0"/>
        <w:spacing w:after="0"/>
        <w:textAlignment w:val="auto"/>
        <w:rPr>
          <w:rFonts w:ascii="Arial" w:hAnsi="Arial" w:cs="Arial"/>
          <w:b/>
          <w:bCs/>
          <w:lang w:eastAsia="ja-JP"/>
        </w:rPr>
      </w:pPr>
    </w:p>
    <w:p w:rsidR="008D3AF9" w:rsidRDefault="008D3AF9">
      <w:pPr>
        <w:overflowPunct/>
        <w:autoSpaceDE/>
        <w:autoSpaceDN/>
        <w:snapToGrid w:val="0"/>
        <w:spacing w:after="0"/>
        <w:textAlignment w:val="auto"/>
        <w:rPr>
          <w:rFonts w:ascii="Arial" w:hAnsi="Arial" w:cs="Arial"/>
          <w:lang w:eastAsia="ja-JP"/>
        </w:rPr>
      </w:pPr>
    </w:p>
    <w:p w:rsidR="008D3AF9" w:rsidRDefault="008D3AF9">
      <w:pPr>
        <w:tabs>
          <w:tab w:val="left" w:pos="567"/>
        </w:tabs>
        <w:overflowPunct/>
        <w:autoSpaceDE/>
        <w:autoSpaceDN/>
        <w:snapToGrid w:val="0"/>
        <w:spacing w:after="0"/>
        <w:textAlignment w:val="auto"/>
        <w:rPr>
          <w:rFonts w:ascii="Arial" w:hAnsi="Arial" w:cs="Arial"/>
          <w:bCs/>
        </w:rPr>
      </w:pPr>
    </w:p>
    <w:p w:rsidR="008D3AF9" w:rsidRDefault="005C078D">
      <w:pPr>
        <w:pStyle w:val="FP"/>
        <w:rPr>
          <w:sz w:val="12"/>
          <w:szCs w:val="12"/>
        </w:rPr>
      </w:pPr>
      <w:r>
        <w:rPr>
          <w:sz w:val="12"/>
          <w:szCs w:val="12"/>
        </w:rPr>
        <w:tab/>
        <w:t>17.05.2021</w:t>
      </w:r>
      <w:r>
        <w:rPr>
          <w:sz w:val="12"/>
          <w:szCs w:val="12"/>
        </w:rPr>
        <w:tab/>
      </w:r>
      <w:r>
        <w:rPr>
          <w:sz w:val="12"/>
          <w:szCs w:val="12"/>
        </w:rPr>
        <w:tab/>
        <w:t>minor adaptations for RAN #92e</w:t>
      </w:r>
    </w:p>
    <w:p w:rsidR="008D3AF9" w:rsidRDefault="005C078D">
      <w:pPr>
        <w:pStyle w:val="FP"/>
        <w:rPr>
          <w:sz w:val="12"/>
          <w:szCs w:val="12"/>
        </w:rPr>
      </w:pPr>
      <w:r>
        <w:rPr>
          <w:sz w:val="12"/>
          <w:szCs w:val="12"/>
        </w:rPr>
        <w:tab/>
        <w:t>28.01.2021</w:t>
      </w:r>
      <w:r>
        <w:rPr>
          <w:sz w:val="12"/>
          <w:szCs w:val="12"/>
        </w:rPr>
        <w:tab/>
      </w:r>
      <w:r>
        <w:rPr>
          <w:sz w:val="12"/>
          <w:szCs w:val="12"/>
        </w:rPr>
        <w:tab/>
        <w:t>minor adaptations for RAN #91e</w:t>
      </w:r>
    </w:p>
    <w:p w:rsidR="008D3AF9" w:rsidRDefault="005C078D">
      <w:pPr>
        <w:pStyle w:val="FP"/>
        <w:rPr>
          <w:sz w:val="12"/>
          <w:szCs w:val="12"/>
        </w:rPr>
      </w:pPr>
      <w:r>
        <w:rPr>
          <w:sz w:val="12"/>
          <w:szCs w:val="12"/>
        </w:rPr>
        <w:tab/>
        <w:t>09.11.2020</w:t>
      </w:r>
      <w:r>
        <w:rPr>
          <w:sz w:val="12"/>
          <w:szCs w:val="12"/>
        </w:rPr>
        <w:tab/>
      </w:r>
      <w:r>
        <w:rPr>
          <w:sz w:val="12"/>
          <w:szCs w:val="12"/>
        </w:rPr>
        <w:tab/>
        <w:t>minor adaptations for RAN #90e</w:t>
      </w:r>
    </w:p>
    <w:p w:rsidR="008D3AF9" w:rsidRDefault="005C078D">
      <w:pPr>
        <w:pStyle w:val="FP"/>
        <w:rPr>
          <w:sz w:val="12"/>
          <w:szCs w:val="12"/>
        </w:rPr>
      </w:pPr>
      <w:r>
        <w:rPr>
          <w:sz w:val="12"/>
          <w:szCs w:val="12"/>
        </w:rPr>
        <w:tab/>
        <w:t>31.08.2020</w:t>
      </w:r>
      <w:r>
        <w:rPr>
          <w:sz w:val="12"/>
          <w:szCs w:val="12"/>
        </w:rPr>
        <w:tab/>
      </w:r>
      <w:r>
        <w:rPr>
          <w:sz w:val="12"/>
          <w:szCs w:val="12"/>
        </w:rPr>
        <w:tab/>
        <w:t>minor adaptations for RAN #89e</w:t>
      </w:r>
    </w:p>
    <w:p w:rsidR="008D3AF9" w:rsidRDefault="005C078D">
      <w:pPr>
        <w:pStyle w:val="FP"/>
        <w:rPr>
          <w:sz w:val="12"/>
          <w:szCs w:val="12"/>
        </w:rPr>
      </w:pPr>
      <w:r>
        <w:rPr>
          <w:sz w:val="12"/>
          <w:szCs w:val="12"/>
        </w:rPr>
        <w:tab/>
        <w:t>20.04.2020</w:t>
      </w:r>
      <w:r>
        <w:rPr>
          <w:sz w:val="12"/>
          <w:szCs w:val="12"/>
        </w:rPr>
        <w:tab/>
      </w:r>
      <w:r>
        <w:rPr>
          <w:sz w:val="12"/>
          <w:szCs w:val="12"/>
        </w:rPr>
        <w:tab/>
        <w:t>minor adaptations for RAN #88e</w:t>
      </w:r>
    </w:p>
    <w:p w:rsidR="008D3AF9" w:rsidRDefault="005C078D">
      <w:pPr>
        <w:pStyle w:val="FP"/>
        <w:rPr>
          <w:sz w:val="12"/>
          <w:szCs w:val="12"/>
        </w:rPr>
      </w:pPr>
      <w:r>
        <w:rPr>
          <w:sz w:val="12"/>
          <w:szCs w:val="12"/>
        </w:rPr>
        <w:tab/>
        <w:t>18.02.2020</w:t>
      </w:r>
      <w:r>
        <w:rPr>
          <w:sz w:val="12"/>
          <w:szCs w:val="12"/>
        </w:rPr>
        <w:tab/>
      </w:r>
      <w:r>
        <w:rPr>
          <w:sz w:val="12"/>
          <w:szCs w:val="12"/>
        </w:rPr>
        <w:tab/>
        <w:t>minor adaptations f</w:t>
      </w:r>
      <w:r>
        <w:rPr>
          <w:sz w:val="12"/>
          <w:szCs w:val="12"/>
        </w:rPr>
        <w:t>or RAN #87e</w:t>
      </w:r>
    </w:p>
    <w:p w:rsidR="008D3AF9" w:rsidRDefault="005C078D">
      <w:pPr>
        <w:pStyle w:val="FP"/>
        <w:rPr>
          <w:sz w:val="12"/>
          <w:szCs w:val="12"/>
        </w:rPr>
      </w:pPr>
      <w:r>
        <w:rPr>
          <w:sz w:val="12"/>
          <w:szCs w:val="12"/>
        </w:rPr>
        <w:tab/>
        <w:t>14.11.2019</w:t>
      </w:r>
      <w:r>
        <w:rPr>
          <w:sz w:val="12"/>
          <w:szCs w:val="12"/>
        </w:rPr>
        <w:tab/>
      </w:r>
      <w:r>
        <w:rPr>
          <w:sz w:val="12"/>
          <w:szCs w:val="12"/>
        </w:rPr>
        <w:tab/>
        <w:t>minor adaptations for RAN #86</w:t>
      </w:r>
    </w:p>
    <w:p w:rsidR="008D3AF9" w:rsidRDefault="005C078D">
      <w:pPr>
        <w:pStyle w:val="FP"/>
        <w:rPr>
          <w:sz w:val="12"/>
          <w:szCs w:val="12"/>
        </w:rPr>
      </w:pPr>
      <w:r>
        <w:rPr>
          <w:sz w:val="12"/>
          <w:szCs w:val="12"/>
        </w:rPr>
        <w:tab/>
        <w:t>18.08.2019</w:t>
      </w:r>
      <w:r>
        <w:rPr>
          <w:sz w:val="12"/>
          <w:szCs w:val="12"/>
        </w:rPr>
        <w:tab/>
      </w:r>
      <w:r>
        <w:rPr>
          <w:sz w:val="12"/>
          <w:szCs w:val="12"/>
        </w:rPr>
        <w:tab/>
        <w:t>minor adaptations for RAN #85</w:t>
      </w:r>
    </w:p>
    <w:p w:rsidR="008D3AF9" w:rsidRDefault="005C078D">
      <w:pPr>
        <w:pStyle w:val="FP"/>
        <w:rPr>
          <w:sz w:val="12"/>
          <w:szCs w:val="12"/>
        </w:rPr>
      </w:pPr>
      <w:r>
        <w:rPr>
          <w:sz w:val="12"/>
          <w:szCs w:val="12"/>
        </w:rPr>
        <w:tab/>
        <w:t>12.05.2019</w:t>
      </w:r>
      <w:r>
        <w:rPr>
          <w:sz w:val="12"/>
          <w:szCs w:val="12"/>
        </w:rPr>
        <w:tab/>
      </w:r>
      <w:r>
        <w:rPr>
          <w:sz w:val="12"/>
          <w:szCs w:val="12"/>
        </w:rPr>
        <w:tab/>
        <w:t>minor adaptations for RAN #84</w:t>
      </w:r>
    </w:p>
    <w:p w:rsidR="008D3AF9" w:rsidRDefault="005C078D">
      <w:pPr>
        <w:pStyle w:val="FP"/>
        <w:rPr>
          <w:sz w:val="12"/>
          <w:szCs w:val="12"/>
        </w:rPr>
      </w:pPr>
      <w:r>
        <w:rPr>
          <w:sz w:val="12"/>
          <w:szCs w:val="12"/>
        </w:rPr>
        <w:tab/>
        <w:t>27.02.2019</w:t>
      </w:r>
      <w:r>
        <w:rPr>
          <w:sz w:val="12"/>
          <w:szCs w:val="12"/>
        </w:rPr>
        <w:tab/>
      </w:r>
      <w:r>
        <w:rPr>
          <w:sz w:val="12"/>
          <w:szCs w:val="12"/>
        </w:rPr>
        <w:tab/>
        <w:t>minor adaptations for RAN #83</w:t>
      </w:r>
    </w:p>
    <w:p w:rsidR="008D3AF9" w:rsidRDefault="005C078D">
      <w:pPr>
        <w:pStyle w:val="FP"/>
        <w:rPr>
          <w:sz w:val="12"/>
          <w:szCs w:val="12"/>
        </w:rPr>
      </w:pPr>
      <w:r>
        <w:rPr>
          <w:sz w:val="12"/>
          <w:szCs w:val="12"/>
        </w:rPr>
        <w:tab/>
        <w:t>21.11.2018</w:t>
      </w:r>
      <w:r>
        <w:rPr>
          <w:sz w:val="12"/>
          <w:szCs w:val="12"/>
        </w:rPr>
        <w:tab/>
      </w:r>
      <w:r>
        <w:rPr>
          <w:sz w:val="12"/>
          <w:szCs w:val="12"/>
        </w:rPr>
        <w:tab/>
        <w:t>completion levels with colours added (for RAN #82)</w:t>
      </w:r>
    </w:p>
    <w:p w:rsidR="008D3AF9" w:rsidRDefault="005C078D">
      <w:pPr>
        <w:pStyle w:val="FP"/>
        <w:rPr>
          <w:sz w:val="12"/>
          <w:szCs w:val="12"/>
        </w:rPr>
      </w:pPr>
      <w:r>
        <w:rPr>
          <w:sz w:val="12"/>
          <w:szCs w:val="12"/>
        </w:rPr>
        <w:t>v04.81</w:t>
      </w:r>
      <w:r>
        <w:rPr>
          <w:sz w:val="12"/>
          <w:szCs w:val="12"/>
        </w:rPr>
        <w:tab/>
        <w:t>3</w:t>
      </w:r>
      <w:r>
        <w:rPr>
          <w:sz w:val="12"/>
          <w:szCs w:val="12"/>
        </w:rPr>
        <w:t>1.07.2018</w:t>
      </w:r>
      <w:r>
        <w:rPr>
          <w:sz w:val="12"/>
          <w:szCs w:val="12"/>
        </w:rPr>
        <w:tab/>
      </w:r>
      <w:r>
        <w:rPr>
          <w:sz w:val="12"/>
          <w:szCs w:val="12"/>
        </w:rPr>
        <w:tab/>
        <w:t>simplification of template and addition of cross-TSG aspects (for RAN #81)</w:t>
      </w:r>
    </w:p>
    <w:p w:rsidR="008D3AF9" w:rsidRDefault="005C078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8D3AF9" w:rsidRDefault="005C078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8D3AF9" w:rsidRDefault="005C078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8D3AF9" w:rsidRDefault="005C078D">
      <w:pPr>
        <w:pStyle w:val="FP"/>
        <w:rPr>
          <w:sz w:val="12"/>
          <w:szCs w:val="12"/>
        </w:rPr>
      </w:pPr>
      <w:r>
        <w:rPr>
          <w:sz w:val="12"/>
          <w:szCs w:val="12"/>
        </w:rPr>
        <w:t>v04.77</w:t>
      </w:r>
      <w:r>
        <w:rPr>
          <w:sz w:val="12"/>
          <w:szCs w:val="12"/>
        </w:rPr>
        <w:tab/>
        <w:t>06.08.2017</w:t>
      </w:r>
      <w:r>
        <w:rPr>
          <w:sz w:val="12"/>
          <w:szCs w:val="12"/>
        </w:rPr>
        <w:tab/>
      </w:r>
      <w:r>
        <w:rPr>
          <w:sz w:val="12"/>
          <w:szCs w:val="12"/>
        </w:rPr>
        <w:tab/>
      </w:r>
      <w:r>
        <w:rPr>
          <w:sz w:val="12"/>
          <w:szCs w:val="12"/>
        </w:rPr>
        <w:t>minor adaptations for RAN #77</w:t>
      </w:r>
    </w:p>
    <w:p w:rsidR="008D3AF9" w:rsidRDefault="005C078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8D3AF9" w:rsidRDefault="005C078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8D3AF9" w:rsidRDefault="005C078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8D3AF9" w:rsidRDefault="005C078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w:t>
      </w:r>
      <w:r>
        <w:rPr>
          <w:sz w:val="12"/>
          <w:szCs w:val="12"/>
        </w:rPr>
        <w:t>N6 reporting included)</w:t>
      </w:r>
    </w:p>
    <w:p w:rsidR="008D3AF9" w:rsidRDefault="005C078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8D3AF9" w:rsidRDefault="005C078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8D3AF9" w:rsidRDefault="005C078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8D3AF9" w:rsidRDefault="005C078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8D3AF9" w:rsidRDefault="005C078D">
      <w:pPr>
        <w:pStyle w:val="FP"/>
        <w:rPr>
          <w:sz w:val="12"/>
          <w:szCs w:val="12"/>
        </w:rPr>
      </w:pPr>
      <w:r>
        <w:rPr>
          <w:sz w:val="12"/>
          <w:szCs w:val="12"/>
        </w:rPr>
        <w:t>v04.68</w:t>
      </w:r>
      <w:r>
        <w:rPr>
          <w:sz w:val="12"/>
          <w:szCs w:val="12"/>
        </w:rPr>
        <w:tab/>
        <w:t>21.</w:t>
      </w:r>
      <w:r>
        <w:rPr>
          <w:sz w:val="12"/>
          <w:szCs w:val="12"/>
        </w:rPr>
        <w:t>05.2015</w:t>
      </w:r>
      <w:r>
        <w:rPr>
          <w:sz w:val="12"/>
          <w:szCs w:val="12"/>
        </w:rPr>
        <w:tab/>
      </w:r>
      <w:r>
        <w:rPr>
          <w:sz w:val="12"/>
          <w:szCs w:val="12"/>
        </w:rPr>
        <w:tab/>
        <w:t>minor adaptations for RAN #68</w:t>
      </w:r>
    </w:p>
    <w:p w:rsidR="008D3AF9" w:rsidRDefault="005C078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8D3AF9" w:rsidRDefault="005C078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8D3AF9" w:rsidRDefault="005C078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8D3AF9" w:rsidRDefault="005C078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8D3AF9" w:rsidRDefault="005C078D">
      <w:pPr>
        <w:pStyle w:val="FP"/>
        <w:rPr>
          <w:sz w:val="12"/>
          <w:szCs w:val="12"/>
        </w:rPr>
      </w:pPr>
      <w:r>
        <w:rPr>
          <w:sz w:val="12"/>
          <w:szCs w:val="12"/>
        </w:rPr>
        <w:t>v04.63</w:t>
      </w:r>
      <w:r>
        <w:rPr>
          <w:sz w:val="12"/>
          <w:szCs w:val="12"/>
        </w:rPr>
        <w:tab/>
        <w:t>24.01.2014</w:t>
      </w:r>
      <w:r>
        <w:rPr>
          <w:sz w:val="12"/>
          <w:szCs w:val="12"/>
        </w:rPr>
        <w:tab/>
      </w:r>
      <w:r>
        <w:rPr>
          <w:sz w:val="12"/>
          <w:szCs w:val="12"/>
        </w:rPr>
        <w:tab/>
        <w:t>re</w:t>
      </w:r>
      <w:r>
        <w:rPr>
          <w:sz w:val="12"/>
          <w:szCs w:val="12"/>
        </w:rPr>
        <w:t>structuring for RAN #63 to cover Core &amp; Perf. in one doc file</w:t>
      </w:r>
    </w:p>
    <w:p w:rsidR="008D3AF9" w:rsidRDefault="005C078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8D3AF9" w:rsidRDefault="005C078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8D3AF9" w:rsidRDefault="005C078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8D3AF9" w:rsidRDefault="005C078D">
      <w:pPr>
        <w:pStyle w:val="FP"/>
        <w:rPr>
          <w:sz w:val="12"/>
          <w:szCs w:val="12"/>
        </w:rPr>
      </w:pPr>
      <w:r>
        <w:rPr>
          <w:sz w:val="12"/>
          <w:szCs w:val="12"/>
        </w:rPr>
        <w:t>v01</w:t>
      </w:r>
      <w:r>
        <w:rPr>
          <w:sz w:val="12"/>
          <w:szCs w:val="12"/>
        </w:rPr>
        <w:tab/>
        <w:t>13.11.2009</w:t>
      </w:r>
      <w:r>
        <w:rPr>
          <w:sz w:val="12"/>
          <w:szCs w:val="12"/>
        </w:rPr>
        <w:tab/>
      </w:r>
      <w:r>
        <w:rPr>
          <w:sz w:val="12"/>
          <w:szCs w:val="12"/>
        </w:rPr>
        <w:tab/>
        <w:t xml:space="preserve">First version of </w:t>
      </w:r>
      <w:r>
        <w:rPr>
          <w:sz w:val="12"/>
          <w:szCs w:val="12"/>
        </w:rPr>
        <w:t>the template</w:t>
      </w:r>
    </w:p>
    <w:sectPr w:rsidR="008D3AF9">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78D" w:rsidRDefault="005C078D">
      <w:pPr>
        <w:spacing w:after="0"/>
      </w:pPr>
      <w:r>
        <w:separator/>
      </w:r>
    </w:p>
  </w:endnote>
  <w:endnote w:type="continuationSeparator" w:id="0">
    <w:p w:rsidR="005C078D" w:rsidRDefault="005C07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EE"/>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3AF9" w:rsidRDefault="005C078D">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78D" w:rsidRDefault="005C078D">
      <w:pPr>
        <w:spacing w:after="0"/>
      </w:pPr>
      <w:r>
        <w:separator/>
      </w:r>
    </w:p>
  </w:footnote>
  <w:footnote w:type="continuationSeparator" w:id="0">
    <w:p w:rsidR="005C078D" w:rsidRDefault="005C07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78D"/>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3AF9"/>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2212"/>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21CA03A6"/>
    <w:rsid w:val="3AA27DAE"/>
    <w:rsid w:val="3C5C720D"/>
    <w:rsid w:val="47070BA3"/>
    <w:rsid w:val="4C492386"/>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13B63"/>
  <w15:docId w15:val="{9CB1FF34-D5A8-441D-B417-7030723FF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932</Words>
  <Characters>5317</Characters>
  <Application>Microsoft Office Word</Application>
  <DocSecurity>0</DocSecurity>
  <Lines>44</Lines>
  <Paragraphs>12</Paragraphs>
  <ScaleCrop>false</ScaleCrop>
  <Company>株式会社エヌ・ティ・ティ・ドコモ</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Xueming Pan</cp:lastModifiedBy>
  <cp:revision>15</cp:revision>
  <dcterms:created xsi:type="dcterms:W3CDTF">2018-11-20T14:54:00Z</dcterms:created>
  <dcterms:modified xsi:type="dcterms:W3CDTF">2022-05-30T13:50:00Z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2052-11.1.0.8696</vt:lpwstr>
  </property>
</Properties>
</file>